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Toni Siimes</w:t>
            </w:r>
          </w:p>
          <w:p w:rsidR="00000000" w:rsidDel="00000000" w:rsidP="00000000" w:rsidRDefault="00000000" w:rsidRPr="00000000" w14:paraId="00000003">
            <w:pPr>
              <w:spacing w:line="276" w:lineRule="auto"/>
              <w:jc w:val="left"/>
              <w:rPr/>
            </w:pPr>
            <w:r w:rsidDel="00000000" w:rsidR="00000000" w:rsidRPr="00000000">
              <w:rPr>
                <w:rtl w:val="0"/>
              </w:rPr>
              <w:t xml:space="preserve">Partner, Helsinki</w:t>
            </w:r>
          </w:p>
          <w:p w:rsidR="00000000" w:rsidDel="00000000" w:rsidP="00000000" w:rsidRDefault="00000000" w:rsidRPr="00000000" w14:paraId="00000004">
            <w:pPr>
              <w:spacing w:line="276" w:lineRule="auto"/>
              <w:jc w:val="left"/>
              <w:rPr/>
            </w:pPr>
            <w:r w:rsidDel="00000000" w:rsidR="00000000" w:rsidRPr="00000000">
              <w:rPr>
                <w:rtl w:val="0"/>
              </w:rPr>
              <w:t xml:space="preserve">Complex Construction, Corporate Advisory, Energy &amp; Infrastructure, Equity Capital Markets, FDI &amp; Protective Security, Industrial Investments, Private Equity, Private M&amp;A, Public M&amp;A, Real Estate</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+358 20 506 6578</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+358 400 461 393</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toni.siimes@roschier.com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Toni Siimes is a Helsinki-based Partner and Head of the firm’s Energy &amp; Infrastructure practice. He has extensive experience from advising clients in industrial and infrastructure projects with a focus on the energy sector, green transition projects as well as retail and forestry industries.</w:t>
      </w:r>
    </w:p>
    <w:p>
      <w:r>
        <w:t xml:space="preserve">Toni is also specialized in M&amp;A and corporate advisory, with a strong emphasis on cross-border transactions and private equity transactions. He has acted for various private equity clients in acquisitions and disposals, working also with the target companies during the holding period. Toni has extensive experience in complex shareholders’ agreements and joint venture structures, as well as project finance transactions with challenging project company structures.</w:t>
      </w:r>
    </w:p>
    <w:p>
      <w:r>
        <w:t xml:space="preserve">In 2008/2009, Toni was on secondment at Allen &amp; Overy in London.</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Recognitions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Toni is recognized for his expertise in energy, corporate/M&amp;A, real estate &amp; construction and foreign investment control in Finland by international legal directories such as Chambers Europe, Chambers Global, IFLR1000, the Legal 500 and Lexology Index (formerly Who’s Who Legal).</w:t>
      </w:r>
    </w:p>
    <w:p>
      <w:r>
        <w:t xml:space="preserve">This is what clients say about Toni:</w:t>
      </w:r>
    </w:p>
    <w:p>
      <w:r>
        <w:t xml:space="preserve">“Toni Siimes is an excellent lawyer.”</w:t>
      </w:r>
    </w:p>
    <w:p>
      <w:r>
        <w:t xml:space="preserve">– Chambers Global 2024, Corporate/M&amp;A</w:t>
      </w:r>
    </w:p>
    <w:p>
      <w:r>
        <w:t xml:space="preserve">“He is a corporate law expert.”</w:t>
      </w:r>
    </w:p>
    <w:p>
      <w:r>
        <w:t xml:space="preserve">– Chambers Global 2024, Corporate/M&amp;A</w:t>
      </w:r>
    </w:p>
    <w:p>
      <w:r>
        <w:t xml:space="preserve">“Toni has an excellent demeanour and is clear and straight forward.”</w:t>
      </w:r>
    </w:p>
    <w:p>
      <w:r>
        <w:t xml:space="preserve">– Chambers Europe 2024, Energy &amp; Natural Resources</w:t>
      </w:r>
    </w:p>
    <w:p>
      <w:r>
        <w:t xml:space="preserve">“Toni Siimes is focused on the right issues and has good sector knowledge.”</w:t>
      </w:r>
    </w:p>
    <w:p>
      <w:r>
        <w:t xml:space="preserve">– Chambers Europe 2023, Energy &amp; Natural Resources</w:t>
      </w:r>
    </w:p>
    <w:p>
      <w:r>
        <w:t xml:space="preserve">“He is very knowledgeable and commercial.”</w:t>
      </w:r>
    </w:p>
    <w:p>
      <w:r>
        <w:t xml:space="preserve">– IFLR1000, 2022/2023 (32nd edition)</w:t>
      </w:r>
    </w:p>
    <w:p>
      <w:r>
        <w:t xml:space="preserve">“Toni Siimes advises on a range of transactions and investments as well as joint ventures. He has a particular focus on deals in the energy sector.”</w:t>
      </w:r>
    </w:p>
    <w:p>
      <w:r>
        <w:t xml:space="preserve">– Chambers Global 2022, Corporate/M&amp;A</w:t>
      </w:r>
    </w:p>
    <w:p>
      <w:r>
        <w:t xml:space="preserve">“Good negotiator and strong client skills. Held in high regard in his field.”</w:t>
      </w:r>
    </w:p>
    <w:p>
      <w:r>
        <w:t xml:space="preserve">– IFLR1000, 2021/2022 (31st edition)</w:t>
      </w:r>
    </w:p>
    <w:p>
      <w:r>
        <w:t xml:space="preserve">“Very calm and commercial.”</w:t>
      </w:r>
    </w:p>
    <w:p>
      <w:r>
        <w:t xml:space="preserve">– IFLR1000, 2021/2022 (31st edition)</w:t>
      </w:r>
    </w:p>
    <w:p>
      <w:r>
        <w:t xml:space="preserve">“Toni Siimes is a great lawyer with the ability to understand and focus on the important matters in complex projects and transactions. ”</w:t>
      </w:r>
    </w:p>
    <w:p>
      <w:r>
        <w:t xml:space="preserve">– IFLR1000, 2021/2022 (31st edition)</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Work highlights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Toni Siimes’ experience includes advising:</w:t>
      </w:r>
    </w:p>
    <w:p>
      <w:r>
        <w:t xml:space="preserve"/>
      </w:r>
    </w:p>
    <w:p>
      <w:pPr>
        <w:pStyle w:val="ListParagraph"/>
        <w:numPr>
          <w:ilvl w:val="0"/>
          <w:numId w:val="1"/>
        </w:numPr>
        <w:rPr/>
      </w:pPr>
      <w:r>
        <w:rPr/>
        <w:t xml:space="preserve">Enersense International Plc in the sale of its wind and solar power project development business to Fortum; </w:t>
      </w:r>
    </w:p>
    <w:p>
      <w:pPr>
        <w:pStyle w:val="ListParagraph"/>
        <w:numPr>
          <w:ilvl w:val="0"/>
          <w:numId w:val="1"/>
        </w:numPr>
        <w:rPr/>
      </w:pPr>
      <w:r>
        <w:rPr/>
        <w:t xml:space="preserve">Mitsubishi Corporation as it enters into an industrial partnership driving sustainable aluminium manufacturing; </w:t>
      </w:r>
    </w:p>
    <w:p>
      <w:pPr>
        <w:pStyle w:val="ListParagraph"/>
        <w:numPr>
          <w:ilvl w:val="0"/>
          <w:numId w:val="1"/>
        </w:numPr>
        <w:rPr/>
      </w:pPr>
      <w:r>
        <w:rPr/>
        <w:t xml:space="preserve">Meridiam SAS in its investment in a Finnish green ammonia project development company Green North Energy Oy; </w:t>
      </w:r>
    </w:p>
    <w:p>
      <w:pPr>
        <w:pStyle w:val="ListParagraph"/>
        <w:numPr>
          <w:ilvl w:val="0"/>
          <w:numId w:val="1"/>
        </w:numPr>
        <w:rPr/>
      </w:pPr>
      <w:r>
        <w:rPr/>
        <w:t xml:space="preserve">HD Korea Shipbuilding &amp; Offshore Engineering Co., Ltd. in acquiring a majority stake in Convion Oy; </w:t>
      </w:r>
    </w:p>
    <w:p>
      <w:pPr>
        <w:pStyle w:val="ListParagraph"/>
        <w:numPr>
          <w:ilvl w:val="0"/>
          <w:numId w:val="1"/>
        </w:numPr>
        <w:rPr/>
      </w:pPr>
      <w:r>
        <w:rPr/>
        <w:t xml:space="preserve">Conquest in the acquisition of a 182MW onshore wind portfolio developed by Winda Energy from BHM Renewables; </w:t>
      </w:r>
    </w:p>
    <w:p>
      <w:pPr>
        <w:pStyle w:val="ListParagraph"/>
        <w:numPr>
          <w:ilvl w:val="0"/>
          <w:numId w:val="1"/>
        </w:numPr>
        <w:rPr/>
      </w:pPr>
      <w:r>
        <w:rPr/>
        <w:t xml:space="preserve">Renewable Power Capital in the acquisition of BESS project in Finland from ib vogt; </w:t>
      </w:r>
    </w:p>
    <w:p>
      <w:pPr>
        <w:pStyle w:val="ListParagraph"/>
        <w:numPr>
          <w:ilvl w:val="0"/>
          <w:numId w:val="1"/>
        </w:numPr>
        <w:rPr/>
      </w:pPr>
      <w:r>
        <w:rPr/>
        <w:t xml:space="preserve">A club of three international lenders (KfW IPEX-Bank, BNP Paribas and Siemens Bank) and a multilateral international ﬁnancial institution in the project financing of Ilmatar Energy’s Pahkakoski wind farm in Finland. The wind farm consists of 30 wind turbines and has a total power capacity of approx. 200 MW. Offtake is partially contracted by a corporate PPA; </w:t>
      </w:r>
    </w:p>
    <w:p>
      <w:pPr>
        <w:pStyle w:val="ListParagraph"/>
        <w:numPr>
          <w:ilvl w:val="0"/>
          <w:numId w:val="1"/>
        </w:numPr>
        <w:rPr/>
      </w:pPr>
      <w:r>
        <w:rPr/>
        <w:t xml:space="preserve">Rabobank in the project financing of the Korpilevonmäki wind farm with Ilmatar Energy as sponsor. The wind farm consists of six modern wind turbines with a total nominal capacity of 38.4 megawatts (MW) and is expected to be operational by 2025. Ilmatar has entered into a 10-year Power Purchase Agreement with Mondelēz International for the wind farm; </w:t>
      </w:r>
    </w:p>
    <w:p>
      <w:pPr>
        <w:pStyle w:val="ListParagraph"/>
        <w:numPr>
          <w:ilvl w:val="0"/>
          <w:numId w:val="1"/>
        </w:numPr>
        <w:rPr/>
      </w:pPr>
      <w:r>
        <w:rPr/>
        <w:t xml:space="preserve">The Province of Quebec in the acquisition of the Helsinki Shipyard; </w:t>
      </w:r>
    </w:p>
    <w:p>
      <w:pPr>
        <w:pStyle w:val="ListParagraph"/>
        <w:numPr>
          <w:ilvl w:val="0"/>
          <w:numId w:val="1"/>
        </w:numPr>
        <w:rPr/>
      </w:pPr>
      <w:r>
        <w:rPr/>
        <w:t xml:space="preserve">Axpo Group in the acquisition of a to be constructed four-turbine wind farm with a total capacity of 25MW, located in western Finland; </w:t>
      </w:r>
    </w:p>
    <w:p>
      <w:pPr>
        <w:pStyle w:val="ListParagraph"/>
        <w:numPr>
          <w:ilvl w:val="0"/>
          <w:numId w:val="1"/>
        </w:numPr>
        <w:rPr/>
      </w:pPr>
      <w:r>
        <w:rPr/>
        <w:t xml:space="preserve">Alterric Internationale Beteiligunge GmbH in the sale of two Finnish onshore wind projects to Ilmatar; </w:t>
      </w:r>
    </w:p>
    <w:p>
      <w:pPr>
        <w:pStyle w:val="ListParagraph"/>
        <w:numPr>
          <w:ilvl w:val="0"/>
          <w:numId w:val="1"/>
        </w:numPr>
        <w:rPr/>
      </w:pPr>
      <w:r>
        <w:rPr/>
        <w:t xml:space="preserve">Prime Capital in the establishment of a joint venture with CPC Finland to build and operate a 200 MW green hydrogen/e-methane plant, including five windfarms, in Finland; </w:t>
      </w:r>
    </w:p>
    <w:p>
      <w:pPr>
        <w:pStyle w:val="ListParagraph"/>
        <w:numPr>
          <w:ilvl w:val="0"/>
          <w:numId w:val="1"/>
        </w:numPr>
        <w:rPr/>
      </w:pPr>
      <w:r>
        <w:rPr/>
        <w:t xml:space="preserve">Sibanye-Stillwater in the voluntary cash offer to the minority shareholders of Keliber Oy; </w:t>
      </w:r>
    </w:p>
    <w:p>
      <w:pPr>
        <w:pStyle w:val="ListParagraph"/>
        <w:numPr>
          <w:ilvl w:val="0"/>
          <w:numId w:val="1"/>
        </w:numPr>
        <w:rPr/>
      </w:pPr>
      <w:r>
        <w:rPr/>
        <w:t xml:space="preserve">Downing in the acquisition of an onshore wind farm in Finland; </w:t>
      </w:r>
    </w:p>
    <w:p>
      <w:pPr>
        <w:pStyle w:val="ListParagraph"/>
        <w:numPr>
          <w:ilvl w:val="0"/>
          <w:numId w:val="1"/>
        </w:numPr>
        <w:rPr/>
      </w:pPr>
      <w:r>
        <w:rPr/>
        <w:t xml:space="preserve">Lenders’ legal advisor for a bidding consortium in the Espoo schools PPP project; </w:t>
      </w:r>
    </w:p>
    <w:p>
      <w:pPr>
        <w:pStyle w:val="ListParagraph"/>
        <w:numPr>
          <w:ilvl w:val="0"/>
          <w:numId w:val="1"/>
        </w:numPr>
        <w:rPr/>
      </w:pPr>
      <w:r>
        <w:rPr/>
        <w:t xml:space="preserve">SEB and Nordea in the financing of the acquisition and construction by Helen and Ålandsbanken Wind Power Fund of the Niinimäki wind farm project with a production capacity of 145 MW; </w:t>
      </w:r>
    </w:p>
    <w:p>
      <w:pPr>
        <w:pStyle w:val="ListParagraph"/>
        <w:numPr>
          <w:ilvl w:val="0"/>
          <w:numId w:val="1"/>
        </w:numPr>
        <w:rPr/>
      </w:pPr>
      <w:r>
        <w:rPr/>
        <w:t xml:space="preserve">SEB and Nordea in the financing of the acquisition and construction by Helen and Ålandsbanken Wind Power Fund of the Juurakko and Karahka wind farm projects with a joint production capacity of 190 MW; </w:t>
      </w:r>
    </w:p>
    <w:p>
      <w:pPr>
        <w:pStyle w:val="ListParagraph"/>
        <w:numPr>
          <w:ilvl w:val="0"/>
          <w:numId w:val="1"/>
        </w:numPr>
        <w:rPr/>
      </w:pPr>
      <w:r>
        <w:rPr/>
        <w:t xml:space="preserve">DekaBank in the EUR 145m project financing of the Louhukangas and Möksy onshore wind farms in Finland owned by llmatar Energy and the Japanese leading utility company The Kansai Electric Power Co., Inc; </w:t>
      </w:r>
    </w:p>
    <w:p>
      <w:pPr>
        <w:pStyle w:val="ListParagraph"/>
        <w:numPr>
          <w:ilvl w:val="0"/>
          <w:numId w:val="1"/>
        </w:numPr>
        <w:rPr/>
      </w:pPr>
      <w:r>
        <w:rPr/>
        <w:t xml:space="preserve">Finnish Minerals Group in the establishment of a pCAM battery plant in Hamina, Finland together with Chinese technology company CNGR Advanced Material. The plant project will be managed by the partners’ joint venture company, of which CNGR Advanced Material will own 60 per cent and Finnish Minerals Group 40 per cent; </w:t>
      </w:r>
    </w:p>
    <w:p>
      <w:pPr>
        <w:pStyle w:val="ListParagraph"/>
        <w:numPr>
          <w:ilvl w:val="0"/>
          <w:numId w:val="1"/>
        </w:numPr>
        <w:rPr/>
      </w:pPr>
      <w:r>
        <w:rPr/>
        <w:t xml:space="preserve">A consortium of Finnish energy companies, comprising Kymppivoima, Oulun Energia and Kuopion Energia, in the acquisition of a wind farm in Lestijärvi from wind and solar farm developer OX2, for approximately EUR 650 million; </w:t>
      </w:r>
    </w:p>
    <w:p>
      <w:pPr>
        <w:pStyle w:val="ListParagraph"/>
        <w:numPr>
          <w:ilvl w:val="0"/>
          <w:numId w:val="1"/>
        </w:numPr>
        <w:rPr/>
      </w:pPr>
      <w:r>
        <w:rPr/>
        <w:t xml:space="preserve">Renewable Power Capital in the acquisition of a 171 MW wind projects portfolio from OX2 (Merkkikallio, Puutikankangas, Rustari); </w:t>
      </w:r>
    </w:p>
    <w:p>
      <w:pPr>
        <w:pStyle w:val="ListParagraph"/>
        <w:numPr>
          <w:ilvl w:val="0"/>
          <w:numId w:val="1"/>
        </w:numPr>
        <w:rPr/>
      </w:pPr>
      <w:r>
        <w:rPr/>
        <w:t xml:space="preserve">Fortum in the sale of its district heating business in the Järvenpää-Tuusula area in Finland to a consortium consisting of Vantaa Energy Ltd, Infranode, and Keva; </w:t>
      </w:r>
    </w:p>
    <w:p>
      <w:pPr>
        <w:pStyle w:val="ListParagraph"/>
        <w:numPr>
          <w:ilvl w:val="0"/>
          <w:numId w:val="1"/>
        </w:numPr>
        <w:rPr/>
      </w:pPr>
      <w:r>
        <w:rPr/>
        <w:t xml:space="preserve">Sval Energi AS as local counsel in the acquisition of 50% of the Metsälamminkangas wind farm project from Lundin Petroleum AB; </w:t>
      </w:r>
    </w:p>
    <w:p>
      <w:pPr>
        <w:pStyle w:val="ListParagraph"/>
        <w:numPr>
          <w:ilvl w:val="0"/>
          <w:numId w:val="1"/>
        </w:numPr>
        <w:rPr/>
      </w:pPr>
      <w:r>
        <w:rPr/>
        <w:t xml:space="preserve">Fortum in the divestment of the majority stake in its Nordic wind portfolio, where Fortum agreed to sell 80% of its Nordic wind portfolio to funds advised by Credit Suisse Energy Infrastructure Partners; </w:t>
      </w:r>
    </w:p>
    <w:p>
      <w:pPr>
        <w:pStyle w:val="ListParagraph"/>
        <w:numPr>
          <w:ilvl w:val="0"/>
          <w:numId w:val="1"/>
        </w:numPr>
        <w:rPr/>
      </w:pPr>
      <w:r>
        <w:rPr/>
        <w:t xml:space="preserve">Luxcara, a leading asset manager for renewable energy, in acquiring the wind energy projects Välikangas, Sievi and Pihtipudas, located in Northern Ostrobothnia, Finland, which will have a capacity of approximately 160 MW; </w:t>
      </w:r>
    </w:p>
    <w:p>
      <w:pPr>
        <w:pStyle w:val="ListParagraph"/>
        <w:numPr>
          <w:ilvl w:val="0"/>
          <w:numId w:val="1"/>
        </w:numPr>
        <w:rPr/>
      </w:pPr>
      <w:r>
        <w:rPr/>
        <w:t xml:space="preserve">Relais Group Oyj in its initial public offering and listing of Relais Group’s shares on the First North Growth Market Finland marketplace, maintained by Nasdaq Helsinki Ltd; </w:t>
      </w:r>
    </w:p>
    <w:p>
      <w:pPr>
        <w:pStyle w:val="ListParagraph"/>
        <w:numPr>
          <w:ilvl w:val="0"/>
          <w:numId w:val="1"/>
        </w:numPr>
        <w:rPr/>
      </w:pPr>
      <w:r>
        <w:rPr/>
        <w:t xml:space="preserve">Relais Group Oy in its purchase of the shares in AB Reservdelar and Huzells i Karlstad AB from Nordic Industry Development, which became a substantial shareholder of Relais Group in the transaction; </w:t>
      </w:r>
    </w:p>
    <w:p>
      <w:pPr>
        <w:pStyle w:val="ListParagraph"/>
        <w:numPr>
          <w:ilvl w:val="0"/>
          <w:numId w:val="1"/>
        </w:numPr>
        <w:rPr/>
      </w:pPr>
      <w:r>
        <w:rPr/>
        <w:t xml:space="preserve">Finnish state-owned Baltic Connector Oy in its joint project with Estonian Elering to construct the Baltticconnector gas pipeline between Finland and Estonia. </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(2004-), Partner since 2009</w:t>
      </w:r>
    </w:p>
    <w:p>
      <w:r>
        <w:t xml:space="preserve">Allen &amp; Overy /London, Visiting Lawyer (2008-2009)</w:t>
      </w:r>
    </w:p>
    <w:p>
      <w:r>
        <w:t xml:space="preserve">Waselius &amp; Wist, Senior Associate (1999-2004)</w:t>
      </w:r>
    </w:p>
    <w:p>
      <w:r>
        <w:t xml:space="preserve">Intrum Justitia /Tampere, Development Manager (1998-1999)</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Bar Association</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Professional appointments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Ethics Committee of the Finnish Bar Association, Member (2013-)</w:t>
      </w:r>
    </w:p>
    <w:p>
      <w:r>
        <w:t xml:space="preserve">Delegation of the Finnish Bar Association, Member (2011-2017)</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Turku, LL.M. (1998)</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