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Sampsa Myllymäki</w:t>
            </w:r>
          </w:p>
          <w:p w:rsidR="00000000" w:rsidDel="00000000" w:rsidP="00000000" w:rsidRDefault="00000000" w:rsidRPr="00000000" w14:paraId="00000003">
            <w:pPr>
              <w:spacing w:line="276" w:lineRule="auto"/>
              <w:jc w:val="left"/>
              <w:rPr/>
            </w:pPr>
            <w:r w:rsidDel="00000000" w:rsidR="00000000" w:rsidRPr="00000000">
              <w:rPr>
                <w:rtl w:val="0"/>
              </w:rPr>
              <w:t xml:space="preserve">Senior Associate, Helsinki</w:t>
            </w:r>
          </w:p>
          <w:p w:rsidR="00000000" w:rsidDel="00000000" w:rsidP="00000000" w:rsidRDefault="00000000" w:rsidRPr="00000000" w14:paraId="00000004">
            <w:pPr>
              <w:spacing w:line="276" w:lineRule="auto"/>
              <w:jc w:val="left"/>
              <w:rPr/>
            </w:pPr>
            <w:r w:rsidDel="00000000" w:rsidR="00000000" w:rsidRPr="00000000">
              <w:rPr>
                <w:rtl w:val="0"/>
              </w:rPr>
              <w:t xml:space="preserve">Tax &amp; Structuring</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+358 20 506 6781</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+358 50 413 2838</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sampsa.myllymaki@roschier.com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Sampsa Myllymäki is a Helsinki-based Senior Associate working with Roschier’s Tax and Structuring practice. He has experience in various domestic and international tax related matters, tax litigation processes and transfer pricing. Prior to joining Roschier in 2022, Sampsa worked for a major international accounting firm.</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Work highlights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Sampsa Myllymäki’s experience includes advising:</w:t>
      </w:r>
    </w:p>
    <w:p>
      <w:r>
        <w:t xml:space="preserve"/>
      </w:r>
    </w:p>
    <w:p>
      <w:pPr>
        <w:pStyle w:val="ListParagraph"/>
        <w:numPr>
          <w:ilvl w:val="0"/>
          <w:numId w:val="1"/>
        </w:numPr>
        <w:rPr/>
      </w:pPr>
      <w:r>
        <w:rPr/>
        <w:t xml:space="preserve">ŌURA in the acquisition of Human Engineering Health Oy, a startup behind the metabolic health product Veri; </w:t>
      </w:r>
    </w:p>
    <w:p>
      <w:pPr>
        <w:pStyle w:val="ListParagraph"/>
        <w:numPr>
          <w:ilvl w:val="0"/>
          <w:numId w:val="1"/>
        </w:numPr>
        <w:rPr/>
      </w:pPr>
      <w:r>
        <w:rPr/>
        <w:t xml:space="preserve">Slättö in an investment by Ares Management; </w:t>
      </w:r>
    </w:p>
    <w:p>
      <w:pPr>
        <w:pStyle w:val="ListParagraph"/>
        <w:numPr>
          <w:ilvl w:val="0"/>
          <w:numId w:val="1"/>
        </w:numPr>
        <w:rPr/>
      </w:pPr>
      <w:r>
        <w:rPr/>
        <w:t xml:space="preserve">Brown-Forman in the sale of Brown-Forman Finland Oy, owner of the Finlandia vodka brand, to Coca-Cola HBC; and </w:t>
      </w:r>
    </w:p>
    <w:p>
      <w:pPr>
        <w:pStyle w:val="ListParagraph"/>
        <w:numPr>
          <w:ilvl w:val="0"/>
          <w:numId w:val="1"/>
        </w:numPr>
        <w:rPr/>
      </w:pPr>
      <w:r>
        <w:rPr/>
        <w:t xml:space="preserve">Warburg Pincus in the acquisition of Epassi Group. </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(2022)</w:t>
      </w:r>
    </w:p>
    <w:p>
      <w:r>
        <w:t xml:space="preserve">Deloitte, Consultant (2018-2020), Senior Consultant (2020-2022)</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Memberships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Member of the Finnish Bar Association</w:t>
      </w:r>
    </w:p>
    <w:p>
      <w:r>
        <w:t xml:space="preserve">Member of the International Fiscal Association (IFA)</w:t>
      </w:r>
    </w:p>
    <w:p>
      <w:r>
        <w:t xml:space="preserve">Member of the Finnish Tax Experts’ Association (SVA)</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University of Turku, LL.M. (2020)</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Finnish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