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Maiju Airisniemi</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Helsinki</w:t>
            </w:r>
          </w:p>
          <w:p w:rsidR="00000000" w:rsidDel="00000000" w:rsidP="00000000" w:rsidRDefault="00000000" w:rsidRPr="00000000" w14:paraId="00000004">
            <w:pPr>
              <w:spacing w:line="276" w:lineRule="auto"/>
              <w:jc w:val="left"/>
              <w:rPr/>
            </w:pPr>
            <w:r w:rsidDel="00000000" w:rsidR="00000000" w:rsidRPr="00000000">
              <w:rPr>
                <w:rtl w:val="0"/>
              </w:rPr>
              <w:t xml:space="preserve">Corporate Advisory, Equity Capital Markets, Public M&amp;A</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+358 20 506 6740</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+358 40 061 9022</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maiju.airisniemi@roschier.com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Maiju Airisniemi is a Helsinki-based Senior Associate working with Roschier’s Corporate Advisory, Public M&amp;A and Equity Capital Markets practices. She joined Roschier in 2021.</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Work highlights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Maiju Airisniemi’s experience includes advising:</w:t>
      </w:r>
    </w:p>
    <w:p>
      <w:r>
        <w:t xml:space="preserve"/>
      </w:r>
    </w:p>
    <w:p>
      <w:pPr>
        <w:pStyle w:val="ListParagraph"/>
        <w:numPr>
          <w:ilvl w:val="0"/>
          <w:numId w:val="1"/>
        </w:numPr>
        <w:rPr/>
      </w:pPr>
      <w:r>
        <w:rPr/>
        <w:t xml:space="preserve">Carnegie Investment Bank AB, Finland Branch as the sole global coordinator and bookrunner in the EUR 20 million rights offering by Duell Corporation; </w:t>
      </w:r>
    </w:p>
    <w:p>
      <w:pPr>
        <w:pStyle w:val="ListParagraph"/>
        <w:numPr>
          <w:ilvl w:val="0"/>
          <w:numId w:val="1"/>
        </w:numPr>
        <w:rPr/>
      </w:pPr>
      <w:r>
        <w:rPr/>
        <w:t xml:space="preserve">Carnegie Investment Bank AB, Finland Branch and UBS Europe SE as the joint bookrunners in the EUR 102 million sale of shares in Kempower Corporation by Kemppi Group through an accelerated book-built offering; </w:t>
      </w:r>
    </w:p>
    <w:p>
      <w:pPr>
        <w:pStyle w:val="ListParagraph"/>
        <w:numPr>
          <w:ilvl w:val="0"/>
          <w:numId w:val="1"/>
        </w:numPr>
        <w:rPr/>
      </w:pPr>
      <w:r>
        <w:rPr/>
        <w:t xml:space="preserve">Rovio Entertainment Corporation in the EUR 700 million all cash takeover of all shares in Rovio by Sega Europe; and </w:t>
      </w:r>
    </w:p>
    <w:p>
      <w:pPr>
        <w:pStyle w:val="ListParagraph"/>
        <w:numPr>
          <w:ilvl w:val="0"/>
          <w:numId w:val="1"/>
        </w:numPr>
        <w:rPr/>
      </w:pPr>
      <w:r>
        <w:rPr/>
        <w:t xml:space="preserve">Nordic Lights Corporation in Methode Electronics Inc.’s approximately EUR 132 million takeover offer for Nordic Lights. </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(2021-)</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Helsinki, LL.M. (2021)</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